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479" w:rsidRDefault="00022479" w:rsidP="00022479">
      <w:pPr>
        <w:jc w:val="center"/>
        <w:rPr>
          <w:rFonts w:ascii="Times New Roman" w:hAnsi="Times New Roman" w:cs="Times New Roman"/>
          <w:b/>
          <w:color w:val="FF0000"/>
          <w:sz w:val="28"/>
          <w:szCs w:val="28"/>
        </w:rPr>
      </w:pPr>
      <w:r w:rsidRPr="00022479">
        <w:rPr>
          <w:rFonts w:ascii="Times New Roman" w:hAnsi="Times New Roman" w:cs="Times New Roman"/>
          <w:b/>
          <w:color w:val="FF0000"/>
          <w:sz w:val="28"/>
          <w:szCs w:val="28"/>
        </w:rPr>
        <w:t>ĐÁP ÁN KIỂM TRA</w:t>
      </w:r>
      <w:r>
        <w:rPr>
          <w:rFonts w:ascii="Times New Roman" w:hAnsi="Times New Roman" w:cs="Times New Roman"/>
          <w:b/>
          <w:color w:val="FF0000"/>
          <w:sz w:val="28"/>
          <w:szCs w:val="28"/>
        </w:rPr>
        <w:t xml:space="preserve"> SỬ</w:t>
      </w:r>
      <w:r w:rsidRPr="00022479">
        <w:rPr>
          <w:rFonts w:ascii="Times New Roman" w:hAnsi="Times New Roman" w:cs="Times New Roman"/>
          <w:b/>
          <w:color w:val="FF0000"/>
          <w:sz w:val="28"/>
          <w:szCs w:val="28"/>
        </w:rPr>
        <w:t xml:space="preserve"> </w:t>
      </w:r>
      <w:r>
        <w:rPr>
          <w:rFonts w:ascii="Times New Roman" w:hAnsi="Times New Roman" w:cs="Times New Roman"/>
          <w:b/>
          <w:color w:val="FF0000"/>
          <w:sz w:val="28"/>
          <w:szCs w:val="28"/>
        </w:rPr>
        <w:t>11</w:t>
      </w:r>
      <w:r w:rsidRPr="00022479">
        <w:rPr>
          <w:rFonts w:ascii="Times New Roman" w:hAnsi="Times New Roman" w:cs="Times New Roman"/>
          <w:b/>
          <w:color w:val="FF0000"/>
          <w:sz w:val="28"/>
          <w:szCs w:val="28"/>
        </w:rPr>
        <w:t xml:space="preserve"> GIỮA KÌ I- NĂM HỌC 2022- 2023</w:t>
      </w:r>
    </w:p>
    <w:p w:rsidR="00022479" w:rsidRDefault="00022479" w:rsidP="00022479">
      <w:pPr>
        <w:spacing w:line="276" w:lineRule="auto"/>
        <w:ind w:right="422"/>
        <w:jc w:val="both"/>
      </w:pPr>
    </w:p>
    <w:tbl>
      <w:tblPr>
        <w:tblStyle w:val="TableGrid"/>
        <w:tblW w:w="0" w:type="auto"/>
        <w:tblLook w:val="04A0" w:firstRow="1" w:lastRow="0" w:firstColumn="1" w:lastColumn="0" w:noHBand="0" w:noVBand="1"/>
      </w:tblPr>
      <w:tblGrid>
        <w:gridCol w:w="1038"/>
        <w:gridCol w:w="1039"/>
        <w:gridCol w:w="1039"/>
        <w:gridCol w:w="1039"/>
        <w:gridCol w:w="1039"/>
        <w:gridCol w:w="1039"/>
        <w:gridCol w:w="1039"/>
        <w:gridCol w:w="1039"/>
        <w:gridCol w:w="1039"/>
      </w:tblGrid>
      <w:tr w:rsidR="00022479" w:rsidRPr="001B4DA8" w:rsidTr="00781462">
        <w:tc>
          <w:tcPr>
            <w:tcW w:w="1038" w:type="dxa"/>
          </w:tcPr>
          <w:p w:rsidR="00022479" w:rsidRPr="001B4DA8" w:rsidRDefault="00022479" w:rsidP="00781462">
            <w:pPr>
              <w:jc w:val="center"/>
              <w:rPr>
                <w:rFonts w:ascii="Times New Roman" w:hAnsi="Times New Roman" w:cs="Times New Roman"/>
                <w:b/>
                <w:color w:val="0070C0"/>
                <w:sz w:val="28"/>
                <w:szCs w:val="28"/>
              </w:rPr>
            </w:pPr>
            <w:r w:rsidRPr="001B4DA8">
              <w:rPr>
                <w:rFonts w:ascii="Times New Roman" w:hAnsi="Times New Roman" w:cs="Times New Roman"/>
                <w:b/>
                <w:color w:val="0070C0"/>
                <w:sz w:val="28"/>
                <w:szCs w:val="28"/>
              </w:rPr>
              <w:t>Câu</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01</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03</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05</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07</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02</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04</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06</w:t>
            </w:r>
          </w:p>
        </w:tc>
        <w:tc>
          <w:tcPr>
            <w:tcW w:w="1039" w:type="dxa"/>
          </w:tcPr>
          <w:p w:rsidR="00022479" w:rsidRPr="001B4DA8" w:rsidRDefault="00022479" w:rsidP="00781462">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6</w:t>
            </w:r>
            <w:r w:rsidRPr="001B4DA8">
              <w:rPr>
                <w:rFonts w:ascii="Times New Roman" w:hAnsi="Times New Roman" w:cs="Times New Roman"/>
                <w:b/>
                <w:color w:val="0070C0"/>
                <w:sz w:val="28"/>
                <w:szCs w:val="28"/>
              </w:rPr>
              <w:t>08</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02247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02247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02247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022479"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2</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3</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4</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5</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6</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7</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8</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9</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10</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11</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12</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13</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14</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15</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706759"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16</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A</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17</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D</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18</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19</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20</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C</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D</w:t>
            </w:r>
          </w:p>
        </w:tc>
      </w:tr>
      <w:tr w:rsidR="00022479" w:rsidTr="00781462">
        <w:tc>
          <w:tcPr>
            <w:tcW w:w="1038" w:type="dxa"/>
          </w:tcPr>
          <w:p w:rsidR="00022479" w:rsidRPr="00160B92" w:rsidRDefault="00022479" w:rsidP="00781462">
            <w:pPr>
              <w:jc w:val="center"/>
              <w:rPr>
                <w:rFonts w:ascii="Times New Roman" w:hAnsi="Times New Roman" w:cs="Times New Roman"/>
                <w:b/>
                <w:sz w:val="28"/>
                <w:szCs w:val="28"/>
              </w:rPr>
            </w:pPr>
            <w:r w:rsidRPr="00160B92">
              <w:rPr>
                <w:rFonts w:ascii="Times New Roman" w:hAnsi="Times New Roman" w:cs="Times New Roman"/>
                <w:b/>
                <w:sz w:val="28"/>
                <w:szCs w:val="28"/>
              </w:rPr>
              <w:t>21</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4A0A06" w:rsidP="00781462">
            <w:pPr>
              <w:jc w:val="center"/>
              <w:rPr>
                <w:rFonts w:ascii="Times New Roman" w:hAnsi="Times New Roman" w:cs="Times New Roman"/>
                <w:b/>
                <w:sz w:val="28"/>
                <w:szCs w:val="28"/>
              </w:rPr>
            </w:pPr>
            <w:r>
              <w:rPr>
                <w:rFonts w:ascii="Times New Roman" w:hAnsi="Times New Roman" w:cs="Times New Roman"/>
                <w:b/>
                <w:sz w:val="28"/>
                <w:szCs w:val="28"/>
              </w:rPr>
              <w:t>A</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D</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c>
          <w:tcPr>
            <w:tcW w:w="1039" w:type="dxa"/>
          </w:tcPr>
          <w:p w:rsidR="00022479" w:rsidRDefault="00BA5AA0" w:rsidP="00781462">
            <w:pPr>
              <w:jc w:val="center"/>
              <w:rPr>
                <w:rFonts w:ascii="Times New Roman" w:hAnsi="Times New Roman" w:cs="Times New Roman"/>
                <w:b/>
                <w:sz w:val="28"/>
                <w:szCs w:val="28"/>
              </w:rPr>
            </w:pPr>
            <w:r>
              <w:rPr>
                <w:rFonts w:ascii="Times New Roman" w:hAnsi="Times New Roman" w:cs="Times New Roman"/>
                <w:b/>
                <w:sz w:val="28"/>
                <w:szCs w:val="28"/>
              </w:rPr>
              <w:t>B</w:t>
            </w:r>
          </w:p>
        </w:tc>
      </w:tr>
    </w:tbl>
    <w:p w:rsidR="00022479" w:rsidRDefault="00022479" w:rsidP="00022479">
      <w:pPr>
        <w:spacing w:line="276" w:lineRule="auto"/>
        <w:ind w:right="422"/>
        <w:jc w:val="both"/>
      </w:pPr>
    </w:p>
    <w:p w:rsidR="00022479" w:rsidRDefault="00022479" w:rsidP="00022479">
      <w:pPr>
        <w:spacing w:line="276" w:lineRule="auto"/>
        <w:ind w:right="422"/>
        <w:jc w:val="both"/>
      </w:pPr>
    </w:p>
    <w:p w:rsidR="00022479" w:rsidRDefault="00022479" w:rsidP="00022479">
      <w:pPr>
        <w:spacing w:line="276" w:lineRule="auto"/>
        <w:ind w:right="422"/>
        <w:jc w:val="both"/>
      </w:pPr>
    </w:p>
    <w:p w:rsidR="00022479" w:rsidRPr="00840C17" w:rsidRDefault="009053C5" w:rsidP="00022479">
      <w:pPr>
        <w:spacing w:line="276" w:lineRule="auto"/>
        <w:ind w:right="422"/>
        <w:jc w:val="both"/>
        <w:rPr>
          <w:rFonts w:ascii="Times New Roman" w:hAnsi="Times New Roman" w:cs="Times New Roman"/>
          <w:b/>
          <w:sz w:val="26"/>
          <w:szCs w:val="26"/>
          <w:u w:val="single"/>
        </w:rPr>
      </w:pPr>
      <w:r w:rsidRPr="00840C17">
        <w:rPr>
          <w:rFonts w:ascii="Times New Roman" w:hAnsi="Times New Roman" w:cs="Times New Roman"/>
          <w:b/>
          <w:sz w:val="26"/>
          <w:szCs w:val="26"/>
          <w:u w:val="single"/>
        </w:rPr>
        <w:t>ĐÁP ÁN TỰ LUẬN</w:t>
      </w:r>
    </w:p>
    <w:p w:rsidR="00022479" w:rsidRDefault="00022479" w:rsidP="00022479">
      <w:pPr>
        <w:spacing w:line="276" w:lineRule="auto"/>
        <w:ind w:right="422"/>
        <w:jc w:val="both"/>
      </w:pPr>
    </w:p>
    <w:p w:rsidR="009053C5" w:rsidRDefault="009053C5" w:rsidP="009053C5">
      <w:pPr>
        <w:rPr>
          <w:b/>
          <w:bCs/>
          <w:sz w:val="28"/>
          <w:szCs w:val="28"/>
        </w:rPr>
      </w:pPr>
      <w:r>
        <w:rPr>
          <w:b/>
          <w:bCs/>
          <w:sz w:val="28"/>
          <w:szCs w:val="28"/>
        </w:rPr>
        <w:t>MÃ đề : 601,</w:t>
      </w:r>
      <w:r w:rsidR="00840C17">
        <w:rPr>
          <w:b/>
          <w:bCs/>
          <w:sz w:val="28"/>
          <w:szCs w:val="28"/>
        </w:rPr>
        <w:t>602,</w:t>
      </w:r>
      <w:r>
        <w:rPr>
          <w:b/>
          <w:bCs/>
          <w:sz w:val="28"/>
          <w:szCs w:val="28"/>
        </w:rPr>
        <w:t xml:space="preserve"> 603</w:t>
      </w:r>
      <w:r w:rsidR="00840C17">
        <w:rPr>
          <w:b/>
          <w:bCs/>
          <w:sz w:val="28"/>
          <w:szCs w:val="28"/>
        </w:rPr>
        <w:t>, 604</w:t>
      </w:r>
      <w:bookmarkStart w:id="0" w:name="_GoBack"/>
      <w:bookmarkEnd w:id="0"/>
    </w:p>
    <w:p w:rsidR="009053C5" w:rsidRDefault="009053C5" w:rsidP="009053C5">
      <w:pPr>
        <w:rPr>
          <w:b/>
          <w:color w:val="000000" w:themeColor="text1"/>
          <w:sz w:val="26"/>
          <w:szCs w:val="26"/>
        </w:rPr>
      </w:pPr>
      <w:r>
        <w:rPr>
          <w:b/>
          <w:color w:val="000000" w:themeColor="text1"/>
          <w:sz w:val="26"/>
          <w:szCs w:val="26"/>
        </w:rPr>
        <w:t>II. Phần tự luận (3đ)</w:t>
      </w:r>
    </w:p>
    <w:p w:rsidR="009B423D" w:rsidRDefault="009053C5" w:rsidP="009053C5">
      <w:pPr>
        <w:rPr>
          <w:color w:val="000000" w:themeColor="text1"/>
          <w:sz w:val="26"/>
          <w:szCs w:val="26"/>
        </w:rPr>
      </w:pPr>
      <w:r>
        <w:rPr>
          <w:b/>
          <w:bCs/>
          <w:sz w:val="28"/>
          <w:szCs w:val="28"/>
        </w:rPr>
        <w:t xml:space="preserve">Câu 1: </w:t>
      </w:r>
      <w:r>
        <w:rPr>
          <w:color w:val="000000" w:themeColor="text1"/>
          <w:sz w:val="26"/>
          <w:szCs w:val="26"/>
          <w:lang w:val="vi-VN"/>
        </w:rPr>
        <w:t>Trình bày những nội dung chính của cuộc Duy tân Minh Trị trên các mặt kinh tế, chính trị, văn hoá giáo dục, quân sự</w:t>
      </w:r>
      <w:r>
        <w:rPr>
          <w:color w:val="000000" w:themeColor="text1"/>
          <w:sz w:val="26"/>
          <w:szCs w:val="26"/>
        </w:rPr>
        <w:t>?</w:t>
      </w:r>
    </w:p>
    <w:p w:rsidR="009053C5" w:rsidRDefault="009B423D" w:rsidP="009053C5">
      <w:pPr>
        <w:rPr>
          <w:b/>
          <w:color w:val="000000" w:themeColor="text1"/>
          <w:sz w:val="26"/>
          <w:szCs w:val="26"/>
        </w:rPr>
      </w:pPr>
      <w:r w:rsidRPr="009B423D">
        <w:rPr>
          <w:b/>
          <w:color w:val="000000" w:themeColor="text1"/>
          <w:sz w:val="26"/>
          <w:szCs w:val="26"/>
        </w:rPr>
        <w:t>CÂU 2:</w:t>
      </w:r>
      <w:r w:rsidR="009053C5">
        <w:rPr>
          <w:color w:val="000000" w:themeColor="text1"/>
          <w:sz w:val="26"/>
          <w:szCs w:val="26"/>
        </w:rPr>
        <w:t xml:space="preserve"> Liên hệ với tình hình Việt Nam cuối thế kỷ XIX đầu thế kỷ XX?</w:t>
      </w:r>
    </w:p>
    <w:p w:rsidR="009053C5" w:rsidRDefault="009053C5" w:rsidP="009053C5">
      <w:pPr>
        <w:spacing w:before="100" w:beforeAutospacing="1" w:after="200" w:line="251" w:lineRule="atLeast"/>
        <w:rPr>
          <w:rFonts w:ascii="Calibri" w:hAnsi="Calibri" w:cs="Calibri"/>
          <w:color w:val="000000"/>
          <w:lang w:val="en-GB" w:eastAsia="en-GB"/>
        </w:rPr>
      </w:pPr>
      <w:r>
        <w:rPr>
          <w:b/>
          <w:bCs/>
          <w:color w:val="000000"/>
          <w:sz w:val="28"/>
          <w:szCs w:val="28"/>
          <w:lang w:val="en-GB" w:eastAsia="en-GB"/>
        </w:rPr>
        <w:lastRenderedPageBreak/>
        <w:t>II. Phần tự luận (3đ)</w:t>
      </w:r>
    </w:p>
    <w:tbl>
      <w:tblPr>
        <w:tblW w:w="0" w:type="auto"/>
        <w:tblInd w:w="534" w:type="dxa"/>
        <w:tblCellMar>
          <w:top w:w="15" w:type="dxa"/>
          <w:left w:w="15" w:type="dxa"/>
          <w:bottom w:w="15" w:type="dxa"/>
          <w:right w:w="15" w:type="dxa"/>
        </w:tblCellMar>
        <w:tblLook w:val="04A0" w:firstRow="1" w:lastRow="0" w:firstColumn="1" w:lastColumn="0" w:noHBand="0" w:noVBand="1"/>
      </w:tblPr>
      <w:tblGrid>
        <w:gridCol w:w="7695"/>
        <w:gridCol w:w="1347"/>
      </w:tblGrid>
      <w:tr w:rsidR="009053C5" w:rsidTr="00ED0F15">
        <w:tc>
          <w:tcPr>
            <w:tcW w:w="1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51" w:lineRule="atLeast"/>
              <w:jc w:val="center"/>
              <w:rPr>
                <w:rFonts w:ascii="Calibri" w:hAnsi="Calibri" w:cs="Calibri"/>
                <w:lang w:val="en-GB" w:eastAsia="en-GB"/>
              </w:rPr>
            </w:pPr>
            <w:r>
              <w:rPr>
                <w:b/>
                <w:bCs/>
                <w:sz w:val="28"/>
                <w:szCs w:val="28"/>
                <w:lang w:val="en-GB" w:eastAsia="en-GB"/>
              </w:rPr>
              <w:t>Đáp án</w:t>
            </w:r>
          </w:p>
        </w:tc>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51" w:lineRule="atLeast"/>
              <w:jc w:val="center"/>
              <w:rPr>
                <w:rFonts w:ascii="Calibri" w:hAnsi="Calibri" w:cs="Calibri"/>
                <w:lang w:val="en-GB" w:eastAsia="en-GB"/>
              </w:rPr>
            </w:pPr>
            <w:r>
              <w:rPr>
                <w:b/>
                <w:bCs/>
                <w:sz w:val="28"/>
                <w:szCs w:val="28"/>
                <w:lang w:val="en-GB" w:eastAsia="en-GB"/>
              </w:rPr>
              <w:t>Điểm</w:t>
            </w:r>
          </w:p>
        </w:tc>
      </w:tr>
      <w:tr w:rsidR="009053C5" w:rsidTr="00ED0F15">
        <w:tc>
          <w:tcPr>
            <w:tcW w:w="12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B423D" w:rsidP="00ED0F15">
            <w:pPr>
              <w:spacing w:before="100" w:beforeAutospacing="1" w:line="264" w:lineRule="atLeast"/>
              <w:rPr>
                <w:rFonts w:ascii="Calibri" w:hAnsi="Calibri" w:cs="Calibri"/>
                <w:lang w:val="en-GB" w:eastAsia="en-GB"/>
              </w:rPr>
            </w:pPr>
            <w:r>
              <w:rPr>
                <w:b/>
                <w:bCs/>
                <w:sz w:val="28"/>
                <w:szCs w:val="28"/>
                <w:lang w:val="en-GB" w:eastAsia="en-GB"/>
              </w:rPr>
              <w:t xml:space="preserve">HỌ SINH: </w:t>
            </w:r>
            <w:r w:rsidR="009053C5">
              <w:rPr>
                <w:b/>
                <w:bCs/>
                <w:sz w:val="28"/>
                <w:szCs w:val="28"/>
                <w:lang w:val="en-GB" w:eastAsia="en-GB"/>
              </w:rPr>
              <w:t>Để đưa Nhật Bản vượt qua khủng hoảng Thiên hoàng Minh Trị đã thực hiện cải cách:</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2 điểm</w:t>
            </w:r>
          </w:p>
        </w:tc>
      </w:tr>
      <w:tr w:rsidR="009053C5" w:rsidTr="00ED0F15">
        <w:tc>
          <w:tcPr>
            <w:tcW w:w="12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i/>
                <w:iCs/>
                <w:sz w:val="28"/>
                <w:szCs w:val="28"/>
                <w:lang w:val="en-GB" w:eastAsia="en-GB"/>
              </w:rPr>
              <w:t xml:space="preserve">- </w:t>
            </w:r>
            <w:r>
              <w:rPr>
                <w:b/>
                <w:bCs/>
                <w:i/>
                <w:iCs/>
                <w:sz w:val="28"/>
                <w:szCs w:val="28"/>
                <w:lang w:val="en-GB" w:eastAsia="en-GB"/>
              </w:rPr>
              <w:t>Về chính trị:</w:t>
            </w:r>
            <w:r>
              <w:rPr>
                <w:sz w:val="28"/>
                <w:szCs w:val="28"/>
                <w:lang w:val="en-GB" w:eastAsia="en-GB"/>
              </w:rPr>
              <w:t> Nhật hoàng tuyên bố thủ tiêu chế độ Mạc phủ, thành lập chính phủ mới, thực hiện quyền bình đẳng giữa các công dân…Năm 1889, Hiến pháp mới được ban hành, chế độ quân chủ lập hiến được thiết lập.</w:t>
            </w:r>
          </w:p>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 </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0.5 điểm</w:t>
            </w:r>
          </w:p>
        </w:tc>
      </w:tr>
      <w:tr w:rsidR="009053C5" w:rsidTr="00ED0F15">
        <w:tc>
          <w:tcPr>
            <w:tcW w:w="12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i/>
                <w:iCs/>
                <w:sz w:val="28"/>
                <w:szCs w:val="28"/>
                <w:lang w:val="en-GB" w:eastAsia="en-GB"/>
              </w:rPr>
              <w:t>- Về kinh tế:</w:t>
            </w:r>
            <w:r>
              <w:rPr>
                <w:sz w:val="28"/>
                <w:szCs w:val="28"/>
                <w:lang w:val="en-GB" w:eastAsia="en-GB"/>
              </w:rPr>
              <w:t> Thực hiện thống nhất tiền tệ, thống nhất thị trường, cho phép mua bán ruộng đất, phát triển kinh tế TBCN ở nông thôn, xây dựng cơ sở hạ tầng, đường sá, cầu cống…</w:t>
            </w:r>
          </w:p>
          <w:p w:rsidR="009053C5" w:rsidRDefault="009053C5" w:rsidP="00ED0F15">
            <w:pPr>
              <w:spacing w:before="100" w:beforeAutospacing="1" w:line="264" w:lineRule="atLeast"/>
              <w:rPr>
                <w:rFonts w:ascii="Calibri" w:hAnsi="Calibri" w:cs="Calibri"/>
                <w:lang w:val="en-GB" w:eastAsia="en-GB"/>
              </w:rPr>
            </w:pPr>
            <w:r>
              <w:rPr>
                <w:sz w:val="28"/>
                <w:szCs w:val="28"/>
                <w:lang w:val="en-GB" w:eastAsia="en-GB"/>
              </w:rPr>
              <w:t> </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0.5 điểm</w:t>
            </w:r>
          </w:p>
        </w:tc>
      </w:tr>
      <w:tr w:rsidR="009053C5" w:rsidTr="00ED0F15">
        <w:tc>
          <w:tcPr>
            <w:tcW w:w="12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i/>
                <w:iCs/>
                <w:sz w:val="28"/>
                <w:szCs w:val="28"/>
                <w:lang w:val="en-GB" w:eastAsia="en-GB"/>
              </w:rPr>
              <w:t>- Về quân sự</w:t>
            </w:r>
            <w:r>
              <w:rPr>
                <w:i/>
                <w:iCs/>
                <w:sz w:val="28"/>
                <w:szCs w:val="28"/>
                <w:lang w:val="en-GB" w:eastAsia="en-GB"/>
              </w:rPr>
              <w:t>:</w:t>
            </w:r>
            <w:r>
              <w:rPr>
                <w:sz w:val="28"/>
                <w:szCs w:val="28"/>
                <w:lang w:val="en-GB" w:eastAsia="en-GB"/>
              </w:rPr>
              <w:t> Quân đội được tổ chức và huấn luyện theo kiểu của phương Tây, chế độ nghĩa vụ quân sự thay cho chế độ trưng binh. Công nghiệp đóng tàu chiến được chú trọng phát triển, mời chuyên gia nước ngoài...</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0.5 điểm</w:t>
            </w:r>
          </w:p>
        </w:tc>
      </w:tr>
      <w:tr w:rsidR="009053C5" w:rsidTr="00ED0F15">
        <w:tc>
          <w:tcPr>
            <w:tcW w:w="12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i/>
                <w:iCs/>
                <w:sz w:val="28"/>
                <w:szCs w:val="28"/>
                <w:lang w:val="en-GB" w:eastAsia="en-GB"/>
              </w:rPr>
              <w:t>- Về giáo dục:</w:t>
            </w:r>
            <w:r>
              <w:rPr>
                <w:sz w:val="28"/>
                <w:szCs w:val="28"/>
                <w:lang w:val="en-GB" w:eastAsia="en-GB"/>
              </w:rPr>
              <w:t> Ban hành chính sách giáo dục bắt buộc, chú trọng nội dung khoa học - kĩ thuật trong chương trình giảng dạy, cử học sinh giỏi đi du học ở phương Tây...</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0.5 điểm</w:t>
            </w:r>
          </w:p>
        </w:tc>
      </w:tr>
      <w:tr w:rsidR="009053C5" w:rsidTr="00ED0F15">
        <w:tc>
          <w:tcPr>
            <w:tcW w:w="12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Liên hệ với tình hình Việt Nam cuối thế kỷ XIX đầu thế kỷ XX</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1 điểm</w:t>
            </w:r>
          </w:p>
        </w:tc>
      </w:tr>
      <w:tr w:rsidR="009053C5" w:rsidTr="00ED0F15">
        <w:tc>
          <w:tcPr>
            <w:tcW w:w="12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sz w:val="28"/>
                <w:szCs w:val="28"/>
                <w:lang w:val="en-GB" w:eastAsia="en-GB"/>
              </w:rPr>
              <w:t>Ở Việt Nam cuối thế kỷ XIX, chế độ phong kiến đã rơi vào tình trạng khủng. Tuy nhiên, Vua quan triều đình Nguyễn đã thực hiện chính sách bảo thủ, khước từ những đề nghị cải cách của nhóm Duy tân do Nguyễn Trường Tộ đứng đầu. Hậu quả, Việt Nam trở thành thuộc địa của Pháp.</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053C5" w:rsidRDefault="009053C5" w:rsidP="00ED0F15">
            <w:pPr>
              <w:spacing w:before="100" w:beforeAutospacing="1" w:line="264" w:lineRule="atLeast"/>
              <w:rPr>
                <w:rFonts w:ascii="Calibri" w:hAnsi="Calibri" w:cs="Calibri"/>
                <w:lang w:val="en-GB" w:eastAsia="en-GB"/>
              </w:rPr>
            </w:pPr>
            <w:r>
              <w:rPr>
                <w:b/>
                <w:bCs/>
                <w:sz w:val="28"/>
                <w:szCs w:val="28"/>
                <w:lang w:val="en-GB" w:eastAsia="en-GB"/>
              </w:rPr>
              <w:t> </w:t>
            </w:r>
          </w:p>
        </w:tc>
      </w:tr>
    </w:tbl>
    <w:p w:rsidR="009053C5" w:rsidRDefault="009053C5" w:rsidP="009053C5">
      <w:pPr>
        <w:spacing w:before="100" w:beforeAutospacing="1" w:line="264" w:lineRule="atLeast"/>
        <w:rPr>
          <w:color w:val="1C1E21"/>
          <w:sz w:val="28"/>
          <w:szCs w:val="28"/>
          <w:lang w:eastAsia="vi-VN"/>
        </w:rPr>
      </w:pPr>
      <w:r>
        <w:rPr>
          <w:b/>
          <w:bCs/>
          <w:color w:val="000000"/>
          <w:sz w:val="26"/>
          <w:szCs w:val="26"/>
          <w:lang w:val="en-GB" w:eastAsia="en-GB"/>
        </w:rPr>
        <w:t> </w:t>
      </w:r>
    </w:p>
    <w:p w:rsidR="009053C5" w:rsidRDefault="009053C5" w:rsidP="009053C5">
      <w:pPr>
        <w:jc w:val="center"/>
        <w:rPr>
          <w:i/>
          <w:color w:val="1C1E21"/>
          <w:lang w:eastAsia="vi-VN"/>
        </w:rPr>
      </w:pPr>
      <w:r>
        <w:rPr>
          <w:i/>
          <w:color w:val="1C1E21"/>
          <w:lang w:eastAsia="vi-VN"/>
        </w:rPr>
        <w:t>(Lưu ý: giáo viên linh hoạt trong khi chấm. Học sinh có thể trình bày nhiều cách, nếu đảm bảo</w:t>
      </w:r>
    </w:p>
    <w:p w:rsidR="009053C5" w:rsidRDefault="009053C5" w:rsidP="009053C5">
      <w:pPr>
        <w:jc w:val="center"/>
        <w:rPr>
          <w:i/>
          <w:color w:val="1C1E21"/>
          <w:lang w:eastAsia="vi-VN"/>
        </w:rPr>
      </w:pPr>
      <w:r>
        <w:rPr>
          <w:i/>
          <w:color w:val="1C1E21"/>
          <w:lang w:eastAsia="vi-VN"/>
        </w:rPr>
        <w:t>đúng, đủ ý vẫn cho điểm tối đa)</w:t>
      </w:r>
    </w:p>
    <w:p w:rsidR="009053C5" w:rsidRDefault="009053C5" w:rsidP="009053C5">
      <w:pPr>
        <w:rPr>
          <w:b/>
          <w:bCs/>
          <w:sz w:val="28"/>
          <w:szCs w:val="28"/>
        </w:rPr>
      </w:pPr>
    </w:p>
    <w:p w:rsidR="009053C5" w:rsidRDefault="009053C5" w:rsidP="009053C5">
      <w:pPr>
        <w:rPr>
          <w:sz w:val="28"/>
          <w:szCs w:val="28"/>
        </w:rPr>
      </w:pPr>
    </w:p>
    <w:p w:rsidR="00022479" w:rsidRDefault="00022479" w:rsidP="00022479">
      <w:pPr>
        <w:spacing w:line="276" w:lineRule="auto"/>
        <w:ind w:right="422"/>
        <w:jc w:val="both"/>
      </w:pPr>
    </w:p>
    <w:p w:rsidR="00022479" w:rsidRPr="00295881" w:rsidRDefault="00022479" w:rsidP="00022479">
      <w:pPr>
        <w:rPr>
          <w:rFonts w:ascii="Times New Roman" w:hAnsi="Times New Roman" w:cs="Times New Roman"/>
          <w:sz w:val="28"/>
          <w:szCs w:val="28"/>
        </w:rPr>
      </w:pPr>
    </w:p>
    <w:p w:rsidR="00836973" w:rsidRDefault="00836973" w:rsidP="00836973">
      <w:pPr>
        <w:spacing w:line="276" w:lineRule="auto"/>
        <w:ind w:right="422"/>
        <w:jc w:val="both"/>
      </w:pPr>
    </w:p>
    <w:p w:rsidR="00836973" w:rsidRDefault="00836973" w:rsidP="00836973">
      <w:pPr>
        <w:spacing w:line="276" w:lineRule="auto"/>
        <w:ind w:right="422"/>
        <w:jc w:val="both"/>
      </w:pPr>
    </w:p>
    <w:p w:rsidR="00836973" w:rsidRDefault="00836973" w:rsidP="00836973">
      <w:pPr>
        <w:spacing w:line="276" w:lineRule="auto"/>
        <w:ind w:right="422"/>
        <w:jc w:val="both"/>
      </w:pPr>
    </w:p>
    <w:p w:rsidR="00836973" w:rsidRPr="00295881" w:rsidRDefault="00836973">
      <w:pPr>
        <w:rPr>
          <w:rFonts w:ascii="Times New Roman" w:hAnsi="Times New Roman" w:cs="Times New Roman"/>
          <w:sz w:val="28"/>
          <w:szCs w:val="28"/>
        </w:rPr>
      </w:pPr>
    </w:p>
    <w:sectPr w:rsidR="00836973" w:rsidRPr="002958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341D3"/>
    <w:multiLevelType w:val="hybridMultilevel"/>
    <w:tmpl w:val="936C1378"/>
    <w:lvl w:ilvl="0" w:tplc="38C65A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3DA"/>
    <w:rsid w:val="00022479"/>
    <w:rsid w:val="0004587F"/>
    <w:rsid w:val="00086AD4"/>
    <w:rsid w:val="00160B92"/>
    <w:rsid w:val="00186E44"/>
    <w:rsid w:val="001B4DA8"/>
    <w:rsid w:val="00295881"/>
    <w:rsid w:val="004A0A06"/>
    <w:rsid w:val="00570953"/>
    <w:rsid w:val="006F0394"/>
    <w:rsid w:val="00706759"/>
    <w:rsid w:val="00836973"/>
    <w:rsid w:val="00840C17"/>
    <w:rsid w:val="009053C5"/>
    <w:rsid w:val="009B423D"/>
    <w:rsid w:val="00A84580"/>
    <w:rsid w:val="00A85128"/>
    <w:rsid w:val="00BA5AA0"/>
    <w:rsid w:val="00D903DA"/>
    <w:rsid w:val="00E6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6B847"/>
  <w15:docId w15:val="{ACAC243A-F6E3-4439-8E19-90B998082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958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6973"/>
    <w:pPr>
      <w:spacing w:after="200" w:line="276" w:lineRule="auto"/>
      <w:ind w:left="720"/>
      <w:contextualSpacing/>
    </w:pPr>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836973"/>
    <w:rPr>
      <w:rFonts w:ascii="Times New Roman" w:eastAsia="Times New Roman" w:hAnsi="Times New Roman" w:cs="Times New Roman"/>
      <w:sz w:val="24"/>
    </w:rPr>
  </w:style>
  <w:style w:type="paragraph" w:styleId="NormalWeb">
    <w:name w:val="Normal (Web)"/>
    <w:basedOn w:val="Normal"/>
    <w:uiPriority w:val="99"/>
    <w:unhideWhenUsed/>
    <w:rsid w:val="008369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PC</cp:lastModifiedBy>
  <cp:revision>19</cp:revision>
  <dcterms:created xsi:type="dcterms:W3CDTF">2021-10-15T12:46:00Z</dcterms:created>
  <dcterms:modified xsi:type="dcterms:W3CDTF">2022-10-28T08:41:00Z</dcterms:modified>
</cp:coreProperties>
</file>